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66608C" w:rsidRDefault="00AD23B0" w:rsidP="000A6DD3">
      <w:pPr>
        <w:ind w:left="-426"/>
        <w:rPr>
          <w:b/>
          <w:color w:val="31849B" w:themeColor="accent5" w:themeShade="BF"/>
          <w:sz w:val="24"/>
        </w:rPr>
      </w:pPr>
      <w:r w:rsidRPr="0066608C">
        <w:rPr>
          <w:b/>
          <w:color w:val="31849B" w:themeColor="accent5" w:themeShade="BF"/>
          <w:sz w:val="24"/>
        </w:rPr>
        <w:t>Pisanje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Look w:val="04A0"/>
      </w:tblPr>
      <w:tblGrid>
        <w:gridCol w:w="5023"/>
        <w:gridCol w:w="5078"/>
        <w:gridCol w:w="5078"/>
      </w:tblGrid>
      <w:tr w:rsidR="00753569" w:rsidTr="0066608C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66608C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5A15F9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A15F9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  <w:r w:rsidR="00585799">
              <w:rPr>
                <w:color w:val="000000" w:themeColor="text1"/>
              </w:rPr>
              <w:t>,</w:t>
            </w:r>
            <w:r w:rsidR="00B0103E">
              <w:rPr>
                <w:color w:val="000000" w:themeColor="text1"/>
              </w:rPr>
              <w:t xml:space="preserve"> </w:t>
            </w:r>
            <w:r w:rsidR="00585799">
              <w:rPr>
                <w:color w:val="000000" w:themeColor="text1"/>
              </w:rPr>
              <w:t xml:space="preserve"> radna bilježnica </w:t>
            </w:r>
            <w:r w:rsidR="00585799" w:rsidRPr="00FF3543">
              <w:rPr>
                <w:i/>
                <w:color w:val="000000" w:themeColor="text1"/>
              </w:rPr>
              <w:t>Naš hrvatski 5</w:t>
            </w:r>
            <w:r w:rsidR="00585799">
              <w:rPr>
                <w:color w:val="000000" w:themeColor="text1"/>
              </w:rPr>
              <w:t>,</w:t>
            </w:r>
            <w:r w:rsidR="00B0103E">
              <w:rPr>
                <w:color w:val="000000" w:themeColor="text1"/>
              </w:rPr>
              <w:t>pravopis</w:t>
            </w:r>
            <w:r w:rsidR="00585799">
              <w:rPr>
                <w:color w:val="000000" w:themeColor="text1"/>
              </w:rPr>
              <w:t>.hr</w:t>
            </w:r>
          </w:p>
        </w:tc>
      </w:tr>
    </w:tbl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875D53" w:rsidRDefault="000A6DD3" w:rsidP="00AD23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="00A6762A" w:rsidRPr="00EC3D00">
              <w:t xml:space="preserve"> </w:t>
            </w:r>
            <w:r w:rsidR="00C6560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 w:rsidR="00AD23B0">
              <w:rPr>
                <w:rStyle w:val="normaltextrun"/>
                <w:rFonts w:ascii="Calibri" w:hAnsi="Calibri" w:cs="Calibri"/>
                <w:sz w:val="22"/>
                <w:szCs w:val="22"/>
              </w:rPr>
              <w:t>razlikuje faze pisanja- 1. pripremna faza, 2. faza pisanja po planu, 3. faza usavršavanja, 4. faza predstavljanja</w:t>
            </w:r>
          </w:p>
          <w:p w:rsidR="00AD23B0" w:rsidRDefault="00AD23B0" w:rsidP="00AD23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služi se različitim izvorima informacija</w:t>
            </w:r>
          </w:p>
          <w:p w:rsidR="00AD23B0" w:rsidRDefault="00AD23B0" w:rsidP="00AD23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provjerava točnost informacija</w:t>
            </w:r>
          </w:p>
          <w:p w:rsidR="00AD23B0" w:rsidRPr="00CD7C59" w:rsidRDefault="00AD23B0" w:rsidP="00AD23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 w:rsidR="0071465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svjesno i točno citira autorsko djelo poštujući intelektualno vlasništvo</w:t>
            </w:r>
          </w:p>
          <w:p w:rsidR="00753569" w:rsidRPr="00CD7C59" w:rsidRDefault="00753569" w:rsidP="00A6762A">
            <w:pPr>
              <w:pStyle w:val="NoSpacing"/>
              <w:ind w:left="113"/>
              <w:rPr>
                <w:sz w:val="18"/>
                <w:lang w:val="hr-HR"/>
              </w:rPr>
            </w:pPr>
          </w:p>
        </w:tc>
      </w:tr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CD7C59" w:rsidRDefault="00CD7C59" w:rsidP="000A6DD3">
            <w:pPr>
              <w:pStyle w:val="NoSpacing"/>
              <w:ind w:left="146"/>
              <w:rPr>
                <w:lang w:val="hr-HR"/>
              </w:rPr>
            </w:pPr>
            <w:r w:rsidRPr="000A6DD3">
              <w:rPr>
                <w:lang w:val="hr-HR"/>
              </w:rPr>
              <w:t>1.</w:t>
            </w:r>
            <w:r w:rsidRPr="00CD7C59">
              <w:rPr>
                <w:lang w:val="hr-HR"/>
              </w:rPr>
              <w:t xml:space="preserve"> </w:t>
            </w:r>
            <w:proofErr w:type="spellStart"/>
            <w:r w:rsidR="00753569">
              <w:t>aktivnost</w:t>
            </w:r>
            <w:proofErr w:type="spellEnd"/>
            <w:r w:rsidR="00753569" w:rsidRPr="00FD583D">
              <w:rPr>
                <w:lang w:val="hr-HR"/>
              </w:rPr>
              <w:t xml:space="preserve"> –</w:t>
            </w:r>
            <w:r w:rsidRPr="00CD7C59">
              <w:rPr>
                <w:b/>
                <w:lang w:val="hr-HR"/>
              </w:rPr>
              <w:t xml:space="preserve"> </w:t>
            </w:r>
            <w:proofErr w:type="spellStart"/>
            <w:r w:rsidR="00ED3697">
              <w:rPr>
                <w:b/>
              </w:rPr>
              <w:t>Biram</w:t>
            </w:r>
            <w:proofErr w:type="spellEnd"/>
            <w:r w:rsidR="00ED3697">
              <w:rPr>
                <w:b/>
              </w:rPr>
              <w:t xml:space="preserve"> </w:t>
            </w:r>
            <w:proofErr w:type="spellStart"/>
            <w:r w:rsidR="00ED3697">
              <w:rPr>
                <w:b/>
              </w:rPr>
              <w:t>temu</w:t>
            </w:r>
            <w:proofErr w:type="spellEnd"/>
          </w:p>
          <w:p w:rsidR="009A028C" w:rsidRPr="009A028C" w:rsidRDefault="00C10D1A" w:rsidP="000A6DD3">
            <w:pPr>
              <w:pStyle w:val="NoSpacing"/>
              <w:ind w:left="146"/>
              <w:rPr>
                <w:lang w:val="hr-HR"/>
              </w:rPr>
            </w:pPr>
            <w:r>
              <w:rPr>
                <w:lang w:val="hr-HR"/>
              </w:rPr>
              <w:t>Učenik odabire jednu temu o kojoj želi nešto više naučiti. Istražuje temu čitajući tekstove koji su mu dostupni (knjige, časopisi,</w:t>
            </w:r>
            <w:r w:rsidR="00585799">
              <w:rPr>
                <w:lang w:val="hr-HR"/>
              </w:rPr>
              <w:t xml:space="preserve"> i</w:t>
            </w:r>
            <w:r>
              <w:rPr>
                <w:lang w:val="hr-HR"/>
              </w:rPr>
              <w:t>nternet, sugovornici…). Kada završi istraživanje</w:t>
            </w:r>
            <w:r w:rsidR="00585799">
              <w:rPr>
                <w:lang w:val="hr-HR"/>
              </w:rPr>
              <w:t>,</w:t>
            </w:r>
            <w:r>
              <w:rPr>
                <w:lang w:val="hr-HR"/>
              </w:rPr>
              <w:t xml:space="preserve"> uz pomoć upitnih zamjenica (i njihovih različitih oblika)</w:t>
            </w:r>
            <w:r w:rsidR="00714650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predstavlja temu pitanjima. Izlaže temu pred razrednim odjelom, ali tako da, uz pomoć pitanja koja si je postavio, smisleno povezuje odgovore u cjelinu koja će činiti sažetak njegove teme. </w:t>
            </w:r>
          </w:p>
          <w:p w:rsidR="00215115" w:rsidRDefault="00CE053C" w:rsidP="000A6DD3">
            <w:pPr>
              <w:pStyle w:val="NoSpacing"/>
              <w:ind w:left="146"/>
              <w:rPr>
                <w:lang w:val="hr-HR"/>
              </w:rPr>
            </w:pPr>
            <w:r w:rsidRPr="000A6DD3">
              <w:rPr>
                <w:lang w:val="hr-HR"/>
              </w:rPr>
              <w:t>2.</w:t>
            </w:r>
            <w:r w:rsidRPr="00BD5E02">
              <w:rPr>
                <w:b/>
                <w:lang w:val="hr-HR"/>
              </w:rPr>
              <w:t xml:space="preserve"> </w:t>
            </w:r>
            <w:proofErr w:type="spellStart"/>
            <w:r w:rsidR="00753569">
              <w:t>aktivnost</w:t>
            </w:r>
            <w:proofErr w:type="spellEnd"/>
            <w:r w:rsidR="00753569" w:rsidRPr="00CD7C59">
              <w:rPr>
                <w:lang w:val="hr-HR"/>
              </w:rPr>
              <w:t xml:space="preserve"> –</w:t>
            </w:r>
            <w:r w:rsidRPr="00BD5E02">
              <w:rPr>
                <w:b/>
                <w:lang w:val="hr-HR"/>
              </w:rPr>
              <w:t xml:space="preserve"> </w:t>
            </w:r>
            <w:proofErr w:type="spellStart"/>
            <w:r w:rsidR="00BD5E02">
              <w:rPr>
                <w:b/>
              </w:rPr>
              <w:t>Kako</w:t>
            </w:r>
            <w:proofErr w:type="spellEnd"/>
            <w:r w:rsidR="00BD5E02" w:rsidRPr="00BD5E02">
              <w:rPr>
                <w:b/>
                <w:lang w:val="hr-HR"/>
              </w:rPr>
              <w:t xml:space="preserve"> </w:t>
            </w:r>
            <w:proofErr w:type="spellStart"/>
            <w:r w:rsidR="00BD5E02">
              <w:rPr>
                <w:b/>
              </w:rPr>
              <w:t>nastaje</w:t>
            </w:r>
            <w:proofErr w:type="spellEnd"/>
            <w:r w:rsidR="00BD5E02" w:rsidRPr="00BD5E02">
              <w:rPr>
                <w:b/>
                <w:lang w:val="hr-HR"/>
              </w:rPr>
              <w:t xml:space="preserve"> </w:t>
            </w:r>
            <w:proofErr w:type="spellStart"/>
            <w:r w:rsidR="00BD5E02">
              <w:rPr>
                <w:b/>
              </w:rPr>
              <w:t>tekst</w:t>
            </w:r>
            <w:proofErr w:type="spellEnd"/>
            <w:r w:rsidR="00BD5E02" w:rsidRPr="00BD5E02">
              <w:rPr>
                <w:b/>
                <w:lang w:val="hr-HR"/>
              </w:rPr>
              <w:t xml:space="preserve"> </w:t>
            </w:r>
          </w:p>
          <w:p w:rsidR="00BD5E02" w:rsidRDefault="00BD5E02" w:rsidP="000A6DD3">
            <w:pPr>
              <w:spacing w:after="0" w:line="360" w:lineRule="auto"/>
              <w:ind w:left="146"/>
              <w:jc w:val="both"/>
            </w:pPr>
            <w:r>
              <w:t xml:space="preserve">       a) Učenik samostalno čita tekst nastavne jedinice </w:t>
            </w:r>
            <w:r w:rsidRPr="00BD5E02">
              <w:rPr>
                <w:i/>
              </w:rPr>
              <w:t>Pisanje</w:t>
            </w:r>
            <w:r>
              <w:t xml:space="preserve"> </w:t>
            </w:r>
            <w:r>
              <w:rPr>
                <w:rFonts w:cs="Times New Roman"/>
              </w:rPr>
              <w:t>(</w:t>
            </w:r>
            <w:r>
              <w:t xml:space="preserve">udžbenik </w:t>
            </w:r>
            <w:r w:rsidRPr="006D7A65">
              <w:rPr>
                <w:i/>
              </w:rPr>
              <w:t>Naš hrvatski 5</w:t>
            </w:r>
            <w:r>
              <w:rPr>
                <w:i/>
              </w:rPr>
              <w:t xml:space="preserve">, </w:t>
            </w:r>
            <w:r>
              <w:t>str. 93.- 96.)</w:t>
            </w:r>
          </w:p>
          <w:p w:rsidR="00CE053C" w:rsidRDefault="00BD5E02" w:rsidP="000A6DD3">
            <w:pPr>
              <w:spacing w:after="0" w:line="360" w:lineRule="auto"/>
              <w:ind w:left="146"/>
              <w:jc w:val="both"/>
            </w:pPr>
            <w:r>
              <w:t xml:space="preserve">       b</w:t>
            </w:r>
            <w:r w:rsidR="00CE053C" w:rsidRPr="00CE053C">
              <w:t xml:space="preserve">) </w:t>
            </w:r>
            <w:r w:rsidR="009475BF" w:rsidRPr="009475BF">
              <w:t>U</w:t>
            </w:r>
            <w:r w:rsidR="009475BF" w:rsidRPr="00CD7C59">
              <w:t>č</w:t>
            </w:r>
            <w:r w:rsidR="009475BF" w:rsidRPr="009475BF">
              <w:t>enik</w:t>
            </w:r>
            <w:r w:rsidR="009475BF" w:rsidRPr="00CD7C59">
              <w:t xml:space="preserve"> </w:t>
            </w:r>
            <w:r>
              <w:t xml:space="preserve">igra igru </w:t>
            </w:r>
            <w:r w:rsidRPr="00BD5E02">
              <w:rPr>
                <w:i/>
              </w:rPr>
              <w:t>Kako nastaje tekst?</w:t>
            </w:r>
            <w:r>
              <w:rPr>
                <w:i/>
              </w:rPr>
              <w:t xml:space="preserve"> </w:t>
            </w:r>
            <w:r>
              <w:t xml:space="preserve">, ponavlja </w:t>
            </w:r>
            <w:r w:rsidR="00585799">
              <w:t xml:space="preserve">i propituje vlastito </w:t>
            </w:r>
            <w:r>
              <w:t xml:space="preserve">razumijevanje pročitanog </w:t>
            </w:r>
            <w:r w:rsidRPr="00BD5E02">
              <w:t xml:space="preserve">(dostupno na e-sferi uz udžbenik </w:t>
            </w:r>
            <w:r w:rsidRPr="00BD5E02">
              <w:rPr>
                <w:i/>
              </w:rPr>
              <w:t>Naš hrvatski 5</w:t>
            </w:r>
            <w:r w:rsidRPr="00BD5E02">
              <w:t>, Ponavljam</w:t>
            </w:r>
            <w:r>
              <w:t>)</w:t>
            </w:r>
          </w:p>
          <w:p w:rsidR="00AF3282" w:rsidRDefault="00AF3282" w:rsidP="000A6DD3">
            <w:pPr>
              <w:spacing w:after="0" w:line="360" w:lineRule="auto"/>
              <w:ind w:left="146"/>
              <w:jc w:val="both"/>
              <w:rPr>
                <w:rFonts w:cs="Times New Roman"/>
                <w:b/>
              </w:rPr>
            </w:pPr>
            <w:r w:rsidRPr="000A6DD3">
              <w:rPr>
                <w:rFonts w:cs="Times New Roman"/>
              </w:rPr>
              <w:t>3.</w:t>
            </w:r>
            <w:r>
              <w:rPr>
                <w:rFonts w:cs="Times New Roman"/>
              </w:rPr>
              <w:t xml:space="preserve"> aktivnost – </w:t>
            </w:r>
            <w:r w:rsidR="00BC038B">
              <w:rPr>
                <w:rFonts w:cs="Times New Roman"/>
                <w:b/>
              </w:rPr>
              <w:t>Pišem…</w:t>
            </w:r>
          </w:p>
          <w:p w:rsidR="006D0C2C" w:rsidRDefault="001E433E" w:rsidP="000A6DD3">
            <w:pPr>
              <w:spacing w:after="0" w:line="360" w:lineRule="auto"/>
              <w:ind w:left="146"/>
              <w:jc w:val="both"/>
              <w:rPr>
                <w:rFonts w:cs="Times New Roman"/>
              </w:rPr>
            </w:pPr>
            <w:r w:rsidRPr="001E433E">
              <w:rPr>
                <w:rFonts w:cs="Times New Roman"/>
              </w:rPr>
              <w:t>Učenik</w:t>
            </w:r>
            <w:r>
              <w:rPr>
                <w:rFonts w:cs="Times New Roman"/>
              </w:rPr>
              <w:t xml:space="preserve"> </w:t>
            </w:r>
            <w:r w:rsidR="00BC038B">
              <w:rPr>
                <w:rFonts w:cs="Times New Roman"/>
              </w:rPr>
              <w:t xml:space="preserve">razrađuje temu istraženu u 1. aktivnosti prema zadatcima u radnoj bilježnici uz udžbenik </w:t>
            </w:r>
            <w:r w:rsidR="00BC038B" w:rsidRPr="00BC038B">
              <w:rPr>
                <w:rFonts w:cs="Times New Roman"/>
                <w:i/>
              </w:rPr>
              <w:t>Naš hrvatski</w:t>
            </w:r>
            <w:r w:rsidR="00BC038B">
              <w:rPr>
                <w:rFonts w:cs="Times New Roman"/>
                <w:i/>
              </w:rPr>
              <w:t xml:space="preserve"> 5</w:t>
            </w:r>
            <w:r w:rsidR="000E6AFD">
              <w:rPr>
                <w:rFonts w:cs="Times New Roman"/>
              </w:rPr>
              <w:t>, str. 73./</w:t>
            </w:r>
            <w:r w:rsidR="00BC038B">
              <w:rPr>
                <w:rFonts w:cs="Times New Roman"/>
              </w:rPr>
              <w:t>74.</w:t>
            </w:r>
            <w:r w:rsidR="000E6AFD">
              <w:rPr>
                <w:rFonts w:cs="Times New Roman"/>
              </w:rPr>
              <w:t>, zadatci 8. – 14.</w:t>
            </w:r>
          </w:p>
          <w:p w:rsidR="00BC038B" w:rsidRPr="00BC038B" w:rsidRDefault="000E6AFD" w:rsidP="000A6DD3">
            <w:pPr>
              <w:spacing w:after="0" w:line="360" w:lineRule="auto"/>
              <w:ind w:left="14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Piše tekst trod</w:t>
            </w:r>
            <w:r w:rsidR="00714650">
              <w:rPr>
                <w:rFonts w:cs="Times New Roman"/>
              </w:rPr>
              <w:t>i</w:t>
            </w:r>
            <w:r>
              <w:rPr>
                <w:rFonts w:cs="Times New Roman"/>
              </w:rPr>
              <w:t>jelne strukture.</w:t>
            </w:r>
          </w:p>
          <w:p w:rsidR="00AF3282" w:rsidRDefault="00AF3282" w:rsidP="000A6DD3">
            <w:pPr>
              <w:spacing w:after="0" w:line="360" w:lineRule="auto"/>
              <w:ind w:left="146"/>
              <w:jc w:val="both"/>
              <w:rPr>
                <w:rFonts w:cs="Times New Roman"/>
              </w:rPr>
            </w:pPr>
            <w:r w:rsidRPr="000A6DD3">
              <w:rPr>
                <w:rFonts w:cs="Times New Roman"/>
              </w:rPr>
              <w:t>4.</w:t>
            </w:r>
            <w:r>
              <w:rPr>
                <w:rFonts w:cs="Times New Roman"/>
              </w:rPr>
              <w:t xml:space="preserve"> aktivnost – </w:t>
            </w:r>
            <w:r w:rsidR="00BC038B">
              <w:rPr>
                <w:rFonts w:cs="Times New Roman"/>
                <w:b/>
              </w:rPr>
              <w:t>Slušam pa pišem</w:t>
            </w:r>
            <w:r w:rsidR="000E6AFD">
              <w:rPr>
                <w:rFonts w:cs="Times New Roman"/>
                <w:b/>
              </w:rPr>
              <w:t>…</w:t>
            </w:r>
          </w:p>
          <w:p w:rsidR="00AF3282" w:rsidRDefault="00AF3282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 w:rsidRPr="000E6AFD">
              <w:rPr>
                <w:rFonts w:cs="Times New Roman"/>
              </w:rPr>
              <w:t xml:space="preserve"> </w:t>
            </w:r>
            <w:r w:rsidR="000E6AFD" w:rsidRPr="000E6AFD">
              <w:rPr>
                <w:rFonts w:cs="Times New Roman"/>
              </w:rPr>
              <w:t>a)</w:t>
            </w:r>
            <w:r w:rsidR="000E6AFD">
              <w:rPr>
                <w:rFonts w:cs="Times New Roman"/>
                <w:b/>
              </w:rPr>
              <w:t xml:space="preserve"> </w:t>
            </w:r>
            <w:r w:rsidRPr="00AF3282">
              <w:rPr>
                <w:rFonts w:cs="Times New Roman"/>
              </w:rPr>
              <w:t>U</w:t>
            </w:r>
            <w:r w:rsidR="000E6AFD">
              <w:rPr>
                <w:rFonts w:cs="Times New Roman"/>
              </w:rPr>
              <w:t xml:space="preserve">čenici slušaju radijsku emisiju </w:t>
            </w:r>
            <w:r w:rsidR="00043FF6">
              <w:rPr>
                <w:rFonts w:cs="Times New Roman"/>
              </w:rPr>
              <w:t xml:space="preserve">„Ha, </w:t>
            </w:r>
            <w:proofErr w:type="spellStart"/>
            <w:r w:rsidR="00043FF6">
              <w:rPr>
                <w:rFonts w:cs="Times New Roman"/>
              </w:rPr>
              <w:t>ho</w:t>
            </w:r>
            <w:proofErr w:type="spellEnd"/>
            <w:r w:rsidR="00043FF6">
              <w:rPr>
                <w:rFonts w:cs="Times New Roman"/>
              </w:rPr>
              <w:t xml:space="preserve">, hi, smijemo se mi“ </w:t>
            </w:r>
            <w:r w:rsidR="000E6AFD">
              <w:rPr>
                <w:rFonts w:cs="Times New Roman"/>
              </w:rPr>
              <w:t xml:space="preserve">novinarske družine OŠ „Ivan Goran Kovačić“ iz Slavonskoga Broda dostupnu na </w:t>
            </w:r>
            <w:hyperlink r:id="rId6" w:history="1">
              <w:r w:rsidR="000E6AFD" w:rsidRPr="00714650">
                <w:rPr>
                  <w:rStyle w:val="Hyperlink"/>
                  <w:rFonts w:cs="Times New Roman"/>
                </w:rPr>
                <w:t>http://www.maligoran.info/ha-ho-hi-smijemo-se-mi/</w:t>
              </w:r>
            </w:hyperlink>
            <w:r w:rsidR="000E6AFD">
              <w:rPr>
                <w:rFonts w:cs="Times New Roman"/>
              </w:rPr>
              <w:t xml:space="preserve"> koja će im poslužiti kao tematska podloga za pisanje.</w:t>
            </w:r>
          </w:p>
          <w:p w:rsidR="000E6AFD" w:rsidRDefault="000E6AFD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b) </w:t>
            </w:r>
            <w:r w:rsidR="00043FF6">
              <w:rPr>
                <w:rFonts w:cs="Times New Roman"/>
              </w:rPr>
              <w:t>Učenici nakon odslušane radijske emisije prikupljaju podatke o fenomenu smijeha i iz ostalih dostupnih izvora.</w:t>
            </w:r>
          </w:p>
          <w:p w:rsidR="00043FF6" w:rsidRDefault="00043FF6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c) Učenici pišu plan pisanja u obliku umne mape.</w:t>
            </w:r>
          </w:p>
          <w:p w:rsidR="00043FF6" w:rsidRDefault="00043FF6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d) Učenici pišu tekst trod</w:t>
            </w:r>
            <w:r w:rsidR="00714650">
              <w:rPr>
                <w:rFonts w:cs="Times New Roman"/>
              </w:rPr>
              <w:t>i</w:t>
            </w:r>
            <w:r>
              <w:rPr>
                <w:rFonts w:cs="Times New Roman"/>
              </w:rPr>
              <w:t>jelne strukture.</w:t>
            </w:r>
            <w:r w:rsidR="008F5AB9">
              <w:rPr>
                <w:rFonts w:cs="Times New Roman"/>
              </w:rPr>
              <w:t xml:space="preserve"> U njemu trebaju navesti barem jedno autorsko djelo iz kojega su preuzeli podatke za sastavak.</w:t>
            </w:r>
          </w:p>
          <w:p w:rsidR="00043FF6" w:rsidRDefault="00043FF6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e) </w:t>
            </w:r>
            <w:r w:rsidR="005124B5">
              <w:rPr>
                <w:rFonts w:cs="Times New Roman"/>
              </w:rPr>
              <w:t>Učenici predstavljaju svoj uradak.</w:t>
            </w:r>
          </w:p>
          <w:p w:rsidR="005124B5" w:rsidRDefault="005124B5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f) Izabiru najbolji uradak u razrednom odjelu i objavljuju ga na internetskoj stranici škole.</w:t>
            </w:r>
          </w:p>
          <w:p w:rsidR="0084544E" w:rsidRPr="005124B5" w:rsidRDefault="0084544E" w:rsidP="000A6DD3">
            <w:pPr>
              <w:spacing w:after="0" w:line="360" w:lineRule="auto"/>
              <w:ind w:left="146"/>
              <w:jc w:val="both"/>
            </w:pPr>
            <w:r w:rsidRPr="000A6DD3">
              <w:rPr>
                <w:rFonts w:cs="Times New Roman"/>
              </w:rPr>
              <w:t>5.</w:t>
            </w:r>
            <w:r>
              <w:rPr>
                <w:rFonts w:cs="Times New Roman"/>
              </w:rPr>
              <w:t xml:space="preserve"> aktivnost</w:t>
            </w:r>
            <w:r w:rsidR="005124B5">
              <w:rPr>
                <w:rFonts w:cs="Times New Roman"/>
              </w:rPr>
              <w:t xml:space="preserve"> – </w:t>
            </w:r>
            <w:r w:rsidR="005124B5">
              <w:rPr>
                <w:rFonts w:cs="Times New Roman"/>
                <w:b/>
              </w:rPr>
              <w:t>P</w:t>
            </w:r>
            <w:r w:rsidR="005124B5" w:rsidRPr="005124B5">
              <w:rPr>
                <w:rFonts w:cs="Times New Roman"/>
                <w:b/>
              </w:rPr>
              <w:t>ripremam se za školsku zadaću</w:t>
            </w:r>
            <w:r w:rsidR="005124B5">
              <w:rPr>
                <w:rFonts w:cs="Times New Roman"/>
                <w:b/>
              </w:rPr>
              <w:t xml:space="preserve"> </w:t>
            </w:r>
            <w:r w:rsidR="005124B5" w:rsidRPr="00BD5E02">
              <w:t xml:space="preserve">(dostupno na e-sferi uz udžbenik </w:t>
            </w:r>
            <w:r w:rsidR="005124B5" w:rsidRPr="00BD5E02">
              <w:rPr>
                <w:i/>
              </w:rPr>
              <w:t>Naš hrvatski 5</w:t>
            </w:r>
            <w:r w:rsidR="005124B5" w:rsidRPr="00BD5E02">
              <w:t xml:space="preserve">, </w:t>
            </w:r>
            <w:r w:rsidR="005124B5">
              <w:t>Čitam i pišem)</w:t>
            </w:r>
          </w:p>
          <w:p w:rsidR="00730C73" w:rsidRDefault="005124B5" w:rsidP="000A6DD3">
            <w:pPr>
              <w:spacing w:after="0" w:line="360" w:lineRule="auto"/>
              <w:ind w:left="28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a) </w:t>
            </w:r>
            <w:r w:rsidR="00730C73" w:rsidRPr="00730C73">
              <w:rPr>
                <w:rFonts w:cs="Times New Roman"/>
              </w:rPr>
              <w:t xml:space="preserve">Učenici </w:t>
            </w:r>
            <w:r>
              <w:rPr>
                <w:rFonts w:cs="Times New Roman"/>
              </w:rPr>
              <w:t xml:space="preserve">čitaju upute za uspješno pisanje školske zadaće navedene u </w:t>
            </w:r>
            <w:proofErr w:type="spellStart"/>
            <w:r>
              <w:rPr>
                <w:rFonts w:cs="Times New Roman"/>
              </w:rPr>
              <w:t>slikokazu</w:t>
            </w:r>
            <w:proofErr w:type="spellEnd"/>
            <w:r>
              <w:rPr>
                <w:rFonts w:cs="Times New Roman"/>
              </w:rPr>
              <w:t xml:space="preserve">. </w:t>
            </w:r>
          </w:p>
          <w:p w:rsidR="00753569" w:rsidRPr="00FD583D" w:rsidRDefault="005124B5" w:rsidP="000A6DD3">
            <w:pPr>
              <w:spacing w:after="0" w:line="360" w:lineRule="auto"/>
              <w:ind w:left="288"/>
              <w:jc w:val="both"/>
            </w:pPr>
            <w:r>
              <w:rPr>
                <w:rFonts w:cs="Times New Roman"/>
              </w:rPr>
              <w:t>b)</w:t>
            </w:r>
            <w:r w:rsidR="0071465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Izrađuju sažetak u obliku kratkih bilježaka o pisanju posebnog oblika pisanja – školske zadaće.</w:t>
            </w: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0A6DD3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u</w:t>
            </w:r>
            <w:r w:rsidR="003A1D1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mna mapa u 4. aktivnosti</w:t>
            </w:r>
          </w:p>
        </w:tc>
        <w:tc>
          <w:tcPr>
            <w:tcW w:w="5078" w:type="dxa"/>
          </w:tcPr>
          <w:p w:rsidR="00753569" w:rsidRPr="006738D3" w:rsidRDefault="000A6DD3" w:rsidP="000A6DD3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v</w:t>
            </w:r>
            <w:r w:rsidR="003A1D11">
              <w:rPr>
                <w:color w:val="000000" w:themeColor="text1"/>
              </w:rPr>
              <w:t>ršnjačko vrednovanje sastavaka iz 4. aktivnosti</w:t>
            </w:r>
          </w:p>
        </w:tc>
        <w:tc>
          <w:tcPr>
            <w:tcW w:w="5078" w:type="dxa"/>
          </w:tcPr>
          <w:p w:rsidR="00753569" w:rsidRPr="007277A2" w:rsidRDefault="000A6DD3" w:rsidP="007277A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3A1D11">
              <w:rPr>
                <w:color w:val="auto"/>
              </w:rPr>
              <w:t>rednovanje sastavka</w:t>
            </w:r>
            <w:r w:rsidR="00C01B7F">
              <w:rPr>
                <w:color w:val="auto"/>
              </w:rPr>
              <w:t xml:space="preserve"> </w:t>
            </w:r>
            <w:r w:rsidR="003A1D11">
              <w:rPr>
                <w:color w:val="auto"/>
              </w:rPr>
              <w:t>iz 3</w:t>
            </w:r>
            <w:r w:rsidR="00FF3543">
              <w:rPr>
                <w:color w:val="auto"/>
              </w:rPr>
              <w:t xml:space="preserve">. </w:t>
            </w:r>
            <w:r w:rsidR="003A1D11">
              <w:rPr>
                <w:color w:val="auto"/>
              </w:rPr>
              <w:t>a</w:t>
            </w:r>
            <w:r w:rsidR="00FF3543">
              <w:rPr>
                <w:color w:val="auto"/>
              </w:rPr>
              <w:t>ktivnosti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0A6DD3" w:rsidRDefault="00753569" w:rsidP="000A6DD3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0A6DD3" w:rsidP="000A6DD3">
            <w:pPr>
              <w:pStyle w:val="NormalWeb"/>
              <w:spacing w:before="120" w:beforeAutospacing="0" w:after="120" w:afterAutospacing="0"/>
              <w:ind w:left="146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8011E0" w:rsidRDefault="000A6DD3" w:rsidP="000A6DD3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A.2.3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="005A15F9">
              <w:rPr>
                <w:rStyle w:val="normaltextrun"/>
                <w:rFonts w:ascii="Calibri" w:hAnsi="Calibri" w:cs="Calibri"/>
                <w:sz w:val="22"/>
                <w:szCs w:val="22"/>
              </w:rPr>
              <w:t>reativno mišljenje – učenik se koristi kreativnošću za oblikovane svojih ideja</w:t>
            </w:r>
          </w:p>
          <w:p w:rsidR="005A15F9" w:rsidRDefault="000A6DD3" w:rsidP="000A6DD3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C.2.1. u</w:t>
            </w:r>
            <w:r w:rsidR="003A1D11">
              <w:rPr>
                <w:rStyle w:val="normaltextrun"/>
                <w:rFonts w:ascii="Calibri" w:hAnsi="Calibri" w:cs="Calibri"/>
                <w:sz w:val="22"/>
                <w:szCs w:val="22"/>
              </w:rPr>
              <w:t>čenik provodi jednostavno istraživanje radi rješenja problema u digitalnom okružju</w:t>
            </w:r>
          </w:p>
          <w:p w:rsidR="00753569" w:rsidRPr="00B67C90" w:rsidRDefault="00753569" w:rsidP="000A6DD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0A6DD3" w:rsidRDefault="000A6DD3" w:rsidP="0058579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585799" w:rsidRDefault="00585799" w:rsidP="0058579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585799" w:rsidRPr="005A15F9" w:rsidRDefault="000A6DD3" w:rsidP="0058579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85799">
              <w:rPr>
                <w:rFonts w:ascii="Calibri" w:hAnsi="Calibri" w:cs="Calibri"/>
                <w:sz w:val="22"/>
                <w:szCs w:val="22"/>
              </w:rPr>
              <w:t>i</w:t>
            </w:r>
            <w:r w:rsidR="00585799" w:rsidRPr="005A15F9">
              <w:rPr>
                <w:rFonts w:ascii="Calibri" w:hAnsi="Calibri" w:cs="Calibri"/>
                <w:sz w:val="22"/>
                <w:szCs w:val="22"/>
              </w:rPr>
              <w:t>kt</w:t>
            </w:r>
            <w:proofErr w:type="spellEnd"/>
            <w:r w:rsidR="00585799">
              <w:rPr>
                <w:rFonts w:ascii="Calibri" w:hAnsi="Calibri" w:cs="Calibri"/>
                <w:sz w:val="22"/>
                <w:szCs w:val="22"/>
              </w:rPr>
              <w:t xml:space="preserve"> C.2.2. Učenik pretražuje informacije u digitalnom okružju</w:t>
            </w:r>
          </w:p>
          <w:p w:rsidR="00585799" w:rsidRDefault="00585799" w:rsidP="00585799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0A6DD3" w:rsidRDefault="000A6DD3" w:rsidP="000A6D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0A6DD3" w:rsidRPr="00714650" w:rsidRDefault="000A6DD3" w:rsidP="000A6DD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A.2.4. razvija radne navike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  <w:bookmarkStart w:id="0" w:name="_GoBack"/>
            <w:bookmarkEnd w:id="0"/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25AE"/>
    <w:multiLevelType w:val="hybridMultilevel"/>
    <w:tmpl w:val="9D48726E"/>
    <w:lvl w:ilvl="0" w:tplc="5712AEB6">
      <w:start w:val="1"/>
      <w:numFmt w:val="decimal"/>
      <w:lvlText w:val="%1."/>
      <w:lvlJc w:val="left"/>
      <w:pPr>
        <w:ind w:left="6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7700683"/>
    <w:multiLevelType w:val="hybridMultilevel"/>
    <w:tmpl w:val="DCD6A1AC"/>
    <w:lvl w:ilvl="0" w:tplc="EB18A2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3C64D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EC26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E870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DA2C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8E21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BA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6CBA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74A9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43FF6"/>
    <w:rsid w:val="000A6DD3"/>
    <w:rsid w:val="000B01BE"/>
    <w:rsid w:val="000E6AFD"/>
    <w:rsid w:val="00162C3C"/>
    <w:rsid w:val="00194061"/>
    <w:rsid w:val="001A1C02"/>
    <w:rsid w:val="001E433E"/>
    <w:rsid w:val="00215115"/>
    <w:rsid w:val="002202ED"/>
    <w:rsid w:val="0022514D"/>
    <w:rsid w:val="002322A4"/>
    <w:rsid w:val="002A7CD0"/>
    <w:rsid w:val="00313D73"/>
    <w:rsid w:val="00342E68"/>
    <w:rsid w:val="003737A0"/>
    <w:rsid w:val="003A1D11"/>
    <w:rsid w:val="003B5E18"/>
    <w:rsid w:val="00446258"/>
    <w:rsid w:val="00450FBE"/>
    <w:rsid w:val="005124B5"/>
    <w:rsid w:val="00585799"/>
    <w:rsid w:val="005A15F9"/>
    <w:rsid w:val="005E3F73"/>
    <w:rsid w:val="0066608C"/>
    <w:rsid w:val="00687639"/>
    <w:rsid w:val="006D0C2C"/>
    <w:rsid w:val="00714650"/>
    <w:rsid w:val="007277A2"/>
    <w:rsid w:val="00730C73"/>
    <w:rsid w:val="00753569"/>
    <w:rsid w:val="008011E0"/>
    <w:rsid w:val="008134D6"/>
    <w:rsid w:val="0084544E"/>
    <w:rsid w:val="00861494"/>
    <w:rsid w:val="00875D53"/>
    <w:rsid w:val="008C017F"/>
    <w:rsid w:val="008E1DC4"/>
    <w:rsid w:val="008F5AB9"/>
    <w:rsid w:val="009475BF"/>
    <w:rsid w:val="009A028C"/>
    <w:rsid w:val="009B0290"/>
    <w:rsid w:val="00A421E2"/>
    <w:rsid w:val="00A6762A"/>
    <w:rsid w:val="00AD23B0"/>
    <w:rsid w:val="00AF3282"/>
    <w:rsid w:val="00AF7B65"/>
    <w:rsid w:val="00B0103E"/>
    <w:rsid w:val="00B0352F"/>
    <w:rsid w:val="00B505DA"/>
    <w:rsid w:val="00B5079E"/>
    <w:rsid w:val="00B67F85"/>
    <w:rsid w:val="00BA2B9F"/>
    <w:rsid w:val="00BC038B"/>
    <w:rsid w:val="00BC44C4"/>
    <w:rsid w:val="00BD0003"/>
    <w:rsid w:val="00BD5E02"/>
    <w:rsid w:val="00C01B7F"/>
    <w:rsid w:val="00C062F8"/>
    <w:rsid w:val="00C10D1A"/>
    <w:rsid w:val="00C117D1"/>
    <w:rsid w:val="00C32962"/>
    <w:rsid w:val="00C65604"/>
    <w:rsid w:val="00C73B23"/>
    <w:rsid w:val="00C77FF9"/>
    <w:rsid w:val="00CB1E16"/>
    <w:rsid w:val="00CD7C59"/>
    <w:rsid w:val="00CE053C"/>
    <w:rsid w:val="00D501CE"/>
    <w:rsid w:val="00D66721"/>
    <w:rsid w:val="00DC6CC6"/>
    <w:rsid w:val="00EC3D00"/>
    <w:rsid w:val="00ED3697"/>
    <w:rsid w:val="00F61EC5"/>
    <w:rsid w:val="00F769B4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6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46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igoran.info/ha-ho-hi-smijemo-se-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1441-1BAF-4F74-9FB1-4C6551B2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4</cp:revision>
  <dcterms:created xsi:type="dcterms:W3CDTF">2021-06-22T13:25:00Z</dcterms:created>
  <dcterms:modified xsi:type="dcterms:W3CDTF">2021-06-24T11:21:00Z</dcterms:modified>
</cp:coreProperties>
</file>